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F0A16" w14:textId="77777777" w:rsidR="00D1051D" w:rsidRPr="00537C05" w:rsidRDefault="00D1051D" w:rsidP="00537C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C05">
        <w:rPr>
          <w:rFonts w:ascii="Times New Roman" w:hAnsi="Times New Roman" w:cs="Times New Roman"/>
          <w:b/>
          <w:bCs/>
          <w:sz w:val="24"/>
          <w:szCs w:val="24"/>
        </w:rPr>
        <w:t>Clasa a VIII-a</w:t>
      </w:r>
    </w:p>
    <w:p w14:paraId="32D1D9EB" w14:textId="2FF7AFF4" w:rsidR="00D1051D" w:rsidRPr="00537C05" w:rsidRDefault="00D1051D" w:rsidP="00537C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C05">
        <w:rPr>
          <w:rFonts w:ascii="Times New Roman" w:hAnsi="Times New Roman" w:cs="Times New Roman"/>
          <w:b/>
          <w:bCs/>
          <w:sz w:val="24"/>
          <w:szCs w:val="24"/>
        </w:rPr>
        <w:t>Tema: ORGANIZAREA ADMINISTRATIV-TERITORIALĂ</w:t>
      </w:r>
    </w:p>
    <w:p w14:paraId="37A1E982" w14:textId="77777777" w:rsidR="00D1051D" w:rsidRPr="00537C05" w:rsidRDefault="00D1051D" w:rsidP="00537C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C05">
        <w:rPr>
          <w:rFonts w:ascii="Times New Roman" w:hAnsi="Times New Roman" w:cs="Times New Roman"/>
          <w:sz w:val="24"/>
          <w:szCs w:val="24"/>
        </w:rPr>
        <w:t xml:space="preserve">De-a lungul istoriei, teritoriul României a fost împărțit </w:t>
      </w:r>
      <w:r w:rsidRPr="00537C05">
        <w:rPr>
          <w:rFonts w:ascii="Times New Roman" w:hAnsi="Times New Roman" w:cs="Times New Roman"/>
          <w:b/>
          <w:bCs/>
          <w:sz w:val="24"/>
          <w:szCs w:val="24"/>
        </w:rPr>
        <w:t xml:space="preserve">județe </w:t>
      </w:r>
      <w:r w:rsidRPr="00537C05">
        <w:rPr>
          <w:rFonts w:ascii="Times New Roman" w:hAnsi="Times New Roman" w:cs="Times New Roman"/>
          <w:sz w:val="24"/>
          <w:szCs w:val="24"/>
        </w:rPr>
        <w:t xml:space="preserve">(în provinciile istorice: Moldova, Muntenia, Dobrogea) și </w:t>
      </w:r>
      <w:r w:rsidRPr="00537C05">
        <w:rPr>
          <w:rFonts w:ascii="Times New Roman" w:hAnsi="Times New Roman" w:cs="Times New Roman"/>
          <w:b/>
          <w:bCs/>
          <w:sz w:val="24"/>
          <w:szCs w:val="24"/>
        </w:rPr>
        <w:t>comitate</w:t>
      </w:r>
      <w:r w:rsidRPr="00537C05">
        <w:rPr>
          <w:rFonts w:ascii="Times New Roman" w:hAnsi="Times New Roman" w:cs="Times New Roman"/>
          <w:sz w:val="24"/>
          <w:szCs w:val="24"/>
        </w:rPr>
        <w:t xml:space="preserve"> ( în Banat, Crișana, Maramureș și Transilvania)</w:t>
      </w:r>
    </w:p>
    <w:p w14:paraId="5987F199" w14:textId="2F874C49" w:rsidR="00D1051D" w:rsidRPr="00537C05" w:rsidRDefault="00D1051D" w:rsidP="00537C0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C05">
        <w:rPr>
          <w:rFonts w:ascii="Times New Roman" w:hAnsi="Times New Roman" w:cs="Times New Roman"/>
          <w:b/>
          <w:sz w:val="24"/>
          <w:szCs w:val="24"/>
        </w:rPr>
        <w:t>România este organizată în prezent,</w:t>
      </w:r>
      <w:r w:rsidRPr="00537C05">
        <w:rPr>
          <w:rFonts w:ascii="Times New Roman" w:hAnsi="Times New Roman" w:cs="Times New Roman"/>
          <w:sz w:val="24"/>
          <w:szCs w:val="24"/>
        </w:rPr>
        <w:t xml:space="preserve"> din punct de vedere administrativ-teritorial</w:t>
      </w:r>
      <w:r w:rsidRPr="00537C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C05">
        <w:rPr>
          <w:rFonts w:ascii="Times New Roman" w:hAnsi="Times New Roman" w:cs="Times New Roman"/>
          <w:bCs/>
          <w:sz w:val="24"/>
          <w:szCs w:val="24"/>
        </w:rPr>
        <w:t>în :</w:t>
      </w:r>
      <w:r w:rsidRPr="00537C05">
        <w:rPr>
          <w:rFonts w:ascii="Times New Roman" w:hAnsi="Times New Roman" w:cs="Times New Roman"/>
          <w:b/>
          <w:sz w:val="24"/>
          <w:szCs w:val="24"/>
        </w:rPr>
        <w:t xml:space="preserve"> județe, municipii, orașe, comune și sate. ( organizare valabilă din 1968)</w:t>
      </w:r>
    </w:p>
    <w:p w14:paraId="4F4C5E76" w14:textId="77777777" w:rsidR="00D1051D" w:rsidRPr="00537C05" w:rsidRDefault="00D1051D" w:rsidP="00537C0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C05">
        <w:rPr>
          <w:rFonts w:ascii="Times New Roman" w:hAnsi="Times New Roman" w:cs="Times New Roman"/>
          <w:b/>
          <w:sz w:val="24"/>
          <w:szCs w:val="24"/>
        </w:rPr>
        <w:t xml:space="preserve">Județele – </w:t>
      </w:r>
      <w:r w:rsidRPr="00537C05">
        <w:rPr>
          <w:rFonts w:ascii="Times New Roman" w:hAnsi="Times New Roman" w:cs="Times New Roman"/>
          <w:sz w:val="24"/>
          <w:szCs w:val="24"/>
        </w:rPr>
        <w:t>sunt forme de organizare administrativă care cuprind un anumit teritoriu, cu localitățile, populația si activitățile economice care se desfășoară pe intinderea sa.</w:t>
      </w:r>
      <w:r w:rsidRPr="00537C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D0B394" w14:textId="77777777" w:rsidR="00D1051D" w:rsidRPr="00537C05" w:rsidRDefault="00D1051D" w:rsidP="00537C0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C05">
        <w:rPr>
          <w:rFonts w:ascii="Times New Roman" w:hAnsi="Times New Roman" w:cs="Times New Roman"/>
          <w:b/>
          <w:bCs/>
          <w:sz w:val="24"/>
          <w:szCs w:val="24"/>
        </w:rPr>
        <w:t xml:space="preserve">Municipiul – </w:t>
      </w:r>
      <w:r w:rsidRPr="00537C05">
        <w:rPr>
          <w:rFonts w:ascii="Times New Roman" w:hAnsi="Times New Roman" w:cs="Times New Roman"/>
          <w:sz w:val="24"/>
          <w:szCs w:val="24"/>
        </w:rPr>
        <w:t>este un oraș cu un număr mai mare de locuitori, o industrie dezvoltată, cu o rețea complexă de unități de învățământ, sănătate și cultură. Municipiile în care-și au sediul prefecturile sunt municipii reședință de județ.</w:t>
      </w:r>
    </w:p>
    <w:p w14:paraId="4485FF05" w14:textId="77777777" w:rsidR="00D1051D" w:rsidRPr="00537C05" w:rsidRDefault="00D1051D" w:rsidP="00537C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C05">
        <w:rPr>
          <w:rFonts w:ascii="Times New Roman" w:hAnsi="Times New Roman" w:cs="Times New Roman"/>
          <w:b/>
          <w:sz w:val="24"/>
          <w:szCs w:val="24"/>
        </w:rPr>
        <w:t xml:space="preserve">Orașele – </w:t>
      </w:r>
      <w:r w:rsidRPr="00537C05">
        <w:rPr>
          <w:rFonts w:ascii="Times New Roman" w:hAnsi="Times New Roman" w:cs="Times New Roman"/>
          <w:sz w:val="24"/>
          <w:szCs w:val="24"/>
        </w:rPr>
        <w:t>sunt așezări complexe cu funcții diverse și un număr mai mare de locuitori. Sunt 320 de orașe (din care 103 municipii).</w:t>
      </w:r>
    </w:p>
    <w:p w14:paraId="63953CE1" w14:textId="31AF5CC9" w:rsidR="00D1051D" w:rsidRPr="00537C05" w:rsidRDefault="00D1051D" w:rsidP="00537C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C05">
        <w:rPr>
          <w:rFonts w:ascii="Times New Roman" w:hAnsi="Times New Roman" w:cs="Times New Roman"/>
          <w:b/>
          <w:sz w:val="24"/>
          <w:szCs w:val="24"/>
        </w:rPr>
        <w:t xml:space="preserve">Comuna  – </w:t>
      </w:r>
      <w:r w:rsidRPr="00537C05">
        <w:rPr>
          <w:rFonts w:ascii="Times New Roman" w:hAnsi="Times New Roman" w:cs="Times New Roman"/>
          <w:sz w:val="24"/>
          <w:szCs w:val="24"/>
        </w:rPr>
        <w:t xml:space="preserve">este unitate de bază a organizarii administrativ teritoriale, este alcatuită din  unul mai multe sate. Sunt   </w:t>
      </w:r>
      <w:r w:rsidRPr="00537C05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537C05">
        <w:rPr>
          <w:rStyle w:val="Strong"/>
          <w:rFonts w:ascii="Times New Roman" w:hAnsi="Times New Roman" w:cs="Times New Roman"/>
          <w:sz w:val="24"/>
          <w:szCs w:val="24"/>
        </w:rPr>
        <w:t>2.854 comune</w:t>
      </w:r>
      <w:r w:rsidRPr="00537C05">
        <w:rPr>
          <w:rFonts w:ascii="Times New Roman" w:hAnsi="Times New Roman" w:cs="Times New Roman"/>
          <w:sz w:val="24"/>
          <w:szCs w:val="24"/>
        </w:rPr>
        <w:t>, ce cuprind 12.951 sate  (în 2012)</w:t>
      </w:r>
    </w:p>
    <w:p w14:paraId="6F4D6A50" w14:textId="77777777" w:rsidR="00D1051D" w:rsidRPr="00537C05" w:rsidRDefault="00D1051D" w:rsidP="00537C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C05">
        <w:rPr>
          <w:rFonts w:ascii="Times New Roman" w:hAnsi="Times New Roman" w:cs="Times New Roman"/>
          <w:b/>
          <w:bCs/>
          <w:sz w:val="24"/>
          <w:szCs w:val="24"/>
        </w:rPr>
        <w:t xml:space="preserve">Satul – </w:t>
      </w:r>
      <w:r w:rsidRPr="00537C05">
        <w:rPr>
          <w:rFonts w:ascii="Times New Roman" w:hAnsi="Times New Roman" w:cs="Times New Roman"/>
          <w:sz w:val="24"/>
          <w:szCs w:val="24"/>
        </w:rPr>
        <w:t>este</w:t>
      </w:r>
      <w:r w:rsidRPr="00537C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7C05">
        <w:rPr>
          <w:rFonts w:ascii="Times New Roman" w:hAnsi="Times New Roman" w:cs="Times New Roman"/>
          <w:sz w:val="24"/>
          <w:szCs w:val="24"/>
        </w:rPr>
        <w:t>forma elementară de organizare administrativă, cuprinzând un anumit teritoriu înconjurător, un număr de gospodării și populația rurală.</w:t>
      </w:r>
    </w:p>
    <w:p w14:paraId="07F47275" w14:textId="77777777" w:rsidR="00D1051D" w:rsidRPr="00537C05" w:rsidRDefault="00D1051D" w:rsidP="00537C0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C05">
        <w:rPr>
          <w:rFonts w:ascii="Times New Roman" w:hAnsi="Times New Roman" w:cs="Times New Roman"/>
          <w:b/>
          <w:sz w:val="24"/>
          <w:szCs w:val="24"/>
        </w:rPr>
        <w:t xml:space="preserve">Teritoriul </w:t>
      </w:r>
      <w:r w:rsidRPr="00537C05">
        <w:rPr>
          <w:rFonts w:ascii="Times New Roman" w:hAnsi="Times New Roman" w:cs="Times New Roman"/>
          <w:sz w:val="24"/>
          <w:szCs w:val="24"/>
        </w:rPr>
        <w:t xml:space="preserve">țării este împărțit în </w:t>
      </w:r>
      <w:r w:rsidRPr="00537C05">
        <w:rPr>
          <w:rFonts w:ascii="Times New Roman" w:hAnsi="Times New Roman" w:cs="Times New Roman"/>
          <w:b/>
          <w:sz w:val="24"/>
          <w:szCs w:val="24"/>
        </w:rPr>
        <w:t>41 de judete,</w:t>
      </w:r>
      <w:r w:rsidRPr="00537C05">
        <w:rPr>
          <w:rFonts w:ascii="Times New Roman" w:hAnsi="Times New Roman" w:cs="Times New Roman"/>
          <w:sz w:val="24"/>
          <w:szCs w:val="24"/>
        </w:rPr>
        <w:t xml:space="preserve"> la care se adaugă Municipiul București care are statut similar cu acestea.</w:t>
      </w:r>
      <w:r w:rsidRPr="00537C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D79B7D" w14:textId="637A7839" w:rsidR="00D1051D" w:rsidRPr="00537C05" w:rsidRDefault="00D1051D" w:rsidP="00537C0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C05">
        <w:rPr>
          <w:rFonts w:ascii="Times New Roman" w:hAnsi="Times New Roman" w:cs="Times New Roman"/>
          <w:b/>
          <w:sz w:val="24"/>
          <w:szCs w:val="24"/>
        </w:rPr>
        <w:t>Jude</w:t>
      </w:r>
      <w:r w:rsidR="00537C05">
        <w:rPr>
          <w:rFonts w:ascii="Times New Roman" w:hAnsi="Times New Roman" w:cs="Times New Roman"/>
          <w:b/>
          <w:sz w:val="24"/>
          <w:szCs w:val="24"/>
        </w:rPr>
        <w:t>ț</w:t>
      </w:r>
      <w:r w:rsidRPr="00537C05">
        <w:rPr>
          <w:rFonts w:ascii="Times New Roman" w:hAnsi="Times New Roman" w:cs="Times New Roman"/>
          <w:b/>
          <w:sz w:val="24"/>
          <w:szCs w:val="24"/>
        </w:rPr>
        <w:t xml:space="preserve">ele se diferențiază după mai multe criterii: </w:t>
      </w:r>
    </w:p>
    <w:p w14:paraId="3574F1F6" w14:textId="77777777" w:rsidR="00D1051D" w:rsidRPr="00537C05" w:rsidRDefault="00D1051D" w:rsidP="00537C0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37C05">
        <w:rPr>
          <w:rFonts w:ascii="Times New Roman" w:hAnsi="Times New Roman"/>
          <w:b/>
          <w:sz w:val="24"/>
          <w:szCs w:val="24"/>
          <w:u w:val="single"/>
        </w:rPr>
        <w:t>după mărimea suprafeței ocupate :</w:t>
      </w:r>
    </w:p>
    <w:p w14:paraId="62734541" w14:textId="42D36599" w:rsidR="00D1051D" w:rsidRPr="00537C05" w:rsidRDefault="00D1051D" w:rsidP="00537C0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537C05">
        <w:rPr>
          <w:rFonts w:ascii="Times New Roman" w:hAnsi="Times New Roman"/>
          <w:b/>
          <w:bCs/>
          <w:iCs/>
          <w:sz w:val="24"/>
          <w:szCs w:val="24"/>
        </w:rPr>
        <w:t>Cel mai întins județ</w:t>
      </w:r>
      <w:r w:rsidRPr="00537C05">
        <w:rPr>
          <w:rFonts w:ascii="Times New Roman" w:hAnsi="Times New Roman"/>
          <w:i/>
          <w:sz w:val="24"/>
          <w:szCs w:val="24"/>
        </w:rPr>
        <w:t xml:space="preserve"> </w:t>
      </w:r>
      <w:r w:rsidRPr="00537C05">
        <w:rPr>
          <w:rFonts w:ascii="Times New Roman" w:hAnsi="Times New Roman"/>
          <w:sz w:val="24"/>
          <w:szCs w:val="24"/>
        </w:rPr>
        <w:t>al țării este Timiș -8697km</w:t>
      </w:r>
      <w:r w:rsidRPr="00537C05">
        <w:rPr>
          <w:rFonts w:ascii="Times New Roman" w:hAnsi="Times New Roman"/>
          <w:sz w:val="24"/>
          <w:szCs w:val="24"/>
          <w:vertAlign w:val="superscript"/>
        </w:rPr>
        <w:t>2</w:t>
      </w:r>
      <w:r w:rsidRPr="00537C05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537C05">
        <w:rPr>
          <w:rFonts w:ascii="Times New Roman" w:hAnsi="Times New Roman"/>
          <w:b/>
          <w:sz w:val="24"/>
          <w:szCs w:val="24"/>
        </w:rPr>
        <w:t xml:space="preserve"> </w:t>
      </w:r>
    </w:p>
    <w:p w14:paraId="7B34B51D" w14:textId="77777777" w:rsidR="00D1051D" w:rsidRPr="00537C05" w:rsidRDefault="00D1051D" w:rsidP="00537C0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37C05">
        <w:rPr>
          <w:rFonts w:ascii="Times New Roman" w:hAnsi="Times New Roman"/>
          <w:b/>
          <w:bCs/>
          <w:iCs/>
          <w:sz w:val="24"/>
          <w:szCs w:val="24"/>
        </w:rPr>
        <w:t>Cel mai puțin întins județ</w:t>
      </w:r>
      <w:r w:rsidRPr="00537C05">
        <w:rPr>
          <w:rFonts w:ascii="Times New Roman" w:hAnsi="Times New Roman"/>
          <w:sz w:val="24"/>
          <w:szCs w:val="24"/>
        </w:rPr>
        <w:t xml:space="preserve"> este Ilfov -1593km</w:t>
      </w:r>
      <w:r w:rsidRPr="00537C05">
        <w:rPr>
          <w:rFonts w:ascii="Times New Roman" w:hAnsi="Times New Roman"/>
          <w:sz w:val="24"/>
          <w:szCs w:val="24"/>
          <w:vertAlign w:val="superscript"/>
        </w:rPr>
        <w:t>2</w:t>
      </w:r>
    </w:p>
    <w:p w14:paraId="301505F5" w14:textId="77777777" w:rsidR="00D1051D" w:rsidRPr="00537C05" w:rsidRDefault="00D1051D" w:rsidP="00537C0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37C05">
        <w:rPr>
          <w:rFonts w:ascii="Times New Roman" w:hAnsi="Times New Roman"/>
          <w:b/>
          <w:sz w:val="24"/>
          <w:szCs w:val="24"/>
          <w:u w:val="single"/>
        </w:rPr>
        <w:t xml:space="preserve">după nr. de locuitori </w:t>
      </w:r>
    </w:p>
    <w:p w14:paraId="31925B8D" w14:textId="0F148D35" w:rsidR="00D1051D" w:rsidRPr="00537C05" w:rsidRDefault="00D1051D" w:rsidP="00537C05">
      <w:pPr>
        <w:pStyle w:val="Default"/>
        <w:numPr>
          <w:ilvl w:val="0"/>
          <w:numId w:val="1"/>
        </w:numPr>
        <w:spacing w:after="7" w:line="276" w:lineRule="auto"/>
        <w:jc w:val="both"/>
      </w:pPr>
      <w:r w:rsidRPr="00537C05">
        <w:rPr>
          <w:b/>
          <w:bCs/>
        </w:rPr>
        <w:t>Cele mai populate</w:t>
      </w:r>
      <w:r w:rsidRPr="00537C05">
        <w:rPr>
          <w:i/>
          <w:iCs/>
        </w:rPr>
        <w:t xml:space="preserve"> </w:t>
      </w:r>
      <w:r w:rsidRPr="00537C05">
        <w:t>județe sunt: Iași (772 348 loc); Prahova:(762 886 loc), Cluj: (691 106 loc).</w:t>
      </w:r>
    </w:p>
    <w:p w14:paraId="56CEF801" w14:textId="239C07A7" w:rsidR="00D1051D" w:rsidRPr="00537C05" w:rsidRDefault="00D1051D" w:rsidP="00537C05">
      <w:pPr>
        <w:pStyle w:val="Default"/>
        <w:numPr>
          <w:ilvl w:val="0"/>
          <w:numId w:val="1"/>
        </w:numPr>
        <w:spacing w:after="7" w:line="276" w:lineRule="auto"/>
        <w:jc w:val="both"/>
      </w:pPr>
      <w:r w:rsidRPr="00537C05">
        <w:rPr>
          <w:b/>
          <w:bCs/>
        </w:rPr>
        <w:t>Cele mai puțin populate</w:t>
      </w:r>
      <w:r w:rsidRPr="00537C05">
        <w:rPr>
          <w:i/>
          <w:iCs/>
        </w:rPr>
        <w:t xml:space="preserve"> </w:t>
      </w:r>
      <w:r w:rsidRPr="00537C05">
        <w:t>județe sunt Covasna (210 177 loc.), Tulcea (213 080 loc.), Sălaj (224 384 loc.)</w:t>
      </w:r>
    </w:p>
    <w:p w14:paraId="5D0D18A7" w14:textId="77777777" w:rsidR="00D1051D" w:rsidRPr="00537C05" w:rsidRDefault="00D1051D" w:rsidP="00537C05">
      <w:pPr>
        <w:pStyle w:val="Default"/>
        <w:numPr>
          <w:ilvl w:val="0"/>
          <w:numId w:val="1"/>
        </w:numPr>
        <w:spacing w:after="7" w:line="276" w:lineRule="auto"/>
        <w:jc w:val="both"/>
      </w:pPr>
      <w:r w:rsidRPr="00537C05">
        <w:rPr>
          <w:b/>
          <w:bCs/>
        </w:rPr>
        <w:t>Cele mai populate reședințe de județ</w:t>
      </w:r>
      <w:r w:rsidRPr="00537C05">
        <w:t xml:space="preserve"> sunt: Cluj Napoca (309 000 loc.), Timișoara (304000 loc.), Iași ( 300 000 loc.) </w:t>
      </w:r>
    </w:p>
    <w:p w14:paraId="5A7793C9" w14:textId="77777777" w:rsidR="00D1051D" w:rsidRPr="00537C05" w:rsidRDefault="00D1051D" w:rsidP="00537C05">
      <w:pPr>
        <w:pStyle w:val="Default"/>
        <w:numPr>
          <w:ilvl w:val="0"/>
          <w:numId w:val="1"/>
        </w:numPr>
        <w:spacing w:after="7" w:line="276" w:lineRule="auto"/>
        <w:jc w:val="both"/>
      </w:pPr>
      <w:r w:rsidRPr="00537C05">
        <w:rPr>
          <w:b/>
          <w:bCs/>
        </w:rPr>
        <w:t>Cea mai puțin populată reședință de județ</w:t>
      </w:r>
      <w:r w:rsidRPr="00537C05">
        <w:t xml:space="preserve"> este Buftea (19 810 loc,)</w:t>
      </w:r>
    </w:p>
    <w:p w14:paraId="386D6D0C" w14:textId="77777777" w:rsidR="00D1051D" w:rsidRPr="00537C05" w:rsidRDefault="00D1051D" w:rsidP="00537C05">
      <w:pPr>
        <w:pStyle w:val="Default"/>
        <w:numPr>
          <w:ilvl w:val="0"/>
          <w:numId w:val="1"/>
        </w:numPr>
        <w:spacing w:after="7" w:line="276" w:lineRule="auto"/>
        <w:jc w:val="both"/>
      </w:pPr>
      <w:r w:rsidRPr="00537C05">
        <w:rPr>
          <w:b/>
          <w:bCs/>
        </w:rPr>
        <w:t>Cea mai mare densitate</w:t>
      </w:r>
      <w:r w:rsidRPr="00537C05">
        <w:t xml:space="preserve">: </w:t>
      </w:r>
      <w:r w:rsidRPr="00537C05">
        <w:rPr>
          <w:rStyle w:val="Strong"/>
        </w:rPr>
        <w:t>Ilfov</w:t>
      </w:r>
      <w:r w:rsidRPr="00537C05">
        <w:t xml:space="preserve"> – 245 loc/km</w:t>
      </w:r>
      <w:r w:rsidRPr="00537C05">
        <w:rPr>
          <w:vertAlign w:val="superscript"/>
        </w:rPr>
        <w:t>2</w:t>
      </w:r>
      <w:r w:rsidRPr="00537C05">
        <w:t>.</w:t>
      </w:r>
    </w:p>
    <w:p w14:paraId="0507095E" w14:textId="3B7A6DF9" w:rsidR="00D1051D" w:rsidRPr="00537C05" w:rsidRDefault="00D1051D" w:rsidP="00537C05">
      <w:pPr>
        <w:pStyle w:val="Default"/>
        <w:numPr>
          <w:ilvl w:val="0"/>
          <w:numId w:val="1"/>
        </w:numPr>
        <w:spacing w:after="7" w:line="276" w:lineRule="auto"/>
        <w:jc w:val="both"/>
      </w:pPr>
      <w:r w:rsidRPr="00537C05">
        <w:rPr>
          <w:b/>
          <w:bCs/>
        </w:rPr>
        <w:t>Cea mai mică densitate</w:t>
      </w:r>
      <w:r w:rsidRPr="00537C05">
        <w:t xml:space="preserve">: </w:t>
      </w:r>
      <w:r w:rsidRPr="00537C05">
        <w:rPr>
          <w:rStyle w:val="Strong"/>
        </w:rPr>
        <w:t>Tulcea</w:t>
      </w:r>
      <w:r w:rsidRPr="00537C05">
        <w:t xml:space="preserve"> – 25 loc/km</w:t>
      </w:r>
      <w:r w:rsidRPr="00537C05">
        <w:rPr>
          <w:vertAlign w:val="superscript"/>
        </w:rPr>
        <w:t>2</w:t>
      </w:r>
      <w:r w:rsidRPr="00537C05">
        <w:t>.</w:t>
      </w:r>
    </w:p>
    <w:p w14:paraId="79FF1E95" w14:textId="77777777" w:rsidR="00D1051D" w:rsidRPr="00537C05" w:rsidRDefault="00D1051D" w:rsidP="00537C05">
      <w:pPr>
        <w:pStyle w:val="Default"/>
        <w:numPr>
          <w:ilvl w:val="0"/>
          <w:numId w:val="2"/>
        </w:numPr>
        <w:spacing w:after="7" w:line="276" w:lineRule="auto"/>
        <w:jc w:val="both"/>
      </w:pPr>
      <w:r w:rsidRPr="00537C05">
        <w:rPr>
          <w:b/>
          <w:u w:val="single"/>
        </w:rPr>
        <w:t xml:space="preserve">după forma de relief sunt: </w:t>
      </w:r>
    </w:p>
    <w:p w14:paraId="4B452640" w14:textId="77777777" w:rsidR="00D1051D" w:rsidRPr="00537C05" w:rsidRDefault="00D1051D" w:rsidP="00537C0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</w:rPr>
      </w:pPr>
      <w:r w:rsidRPr="00537C05">
        <w:rPr>
          <w:rFonts w:ascii="Times New Roman" w:hAnsi="Times New Roman"/>
          <w:b/>
          <w:iCs/>
          <w:sz w:val="24"/>
          <w:szCs w:val="24"/>
        </w:rPr>
        <w:t>Județe montane</w:t>
      </w:r>
      <w:r w:rsidRPr="00537C05">
        <w:rPr>
          <w:rFonts w:ascii="Times New Roman" w:hAnsi="Times New Roman"/>
          <w:iCs/>
          <w:sz w:val="24"/>
          <w:szCs w:val="24"/>
        </w:rPr>
        <w:t xml:space="preserve"> – Covasna </w:t>
      </w:r>
    </w:p>
    <w:p w14:paraId="36D94349" w14:textId="77777777" w:rsidR="00D1051D" w:rsidRPr="00537C05" w:rsidRDefault="00D1051D" w:rsidP="00537C0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</w:rPr>
      </w:pPr>
      <w:r w:rsidRPr="00537C05">
        <w:rPr>
          <w:rFonts w:ascii="Times New Roman" w:hAnsi="Times New Roman"/>
          <w:b/>
          <w:iCs/>
          <w:sz w:val="24"/>
          <w:szCs w:val="24"/>
        </w:rPr>
        <w:t>Județe de podiș</w:t>
      </w:r>
      <w:r w:rsidRPr="00537C05">
        <w:rPr>
          <w:rFonts w:ascii="Times New Roman" w:hAnsi="Times New Roman"/>
          <w:iCs/>
          <w:sz w:val="24"/>
          <w:szCs w:val="24"/>
        </w:rPr>
        <w:t xml:space="preserve"> – Botoșani, Iași, Constanța </w:t>
      </w:r>
    </w:p>
    <w:p w14:paraId="47F71FC9" w14:textId="77777777" w:rsidR="00D1051D" w:rsidRPr="00537C05" w:rsidRDefault="00D1051D" w:rsidP="00537C0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</w:rPr>
      </w:pPr>
      <w:r w:rsidRPr="00537C05">
        <w:rPr>
          <w:rFonts w:ascii="Times New Roman" w:hAnsi="Times New Roman"/>
          <w:b/>
          <w:iCs/>
          <w:sz w:val="24"/>
          <w:szCs w:val="24"/>
        </w:rPr>
        <w:t>Județe de câmpie</w:t>
      </w:r>
      <w:r w:rsidRPr="00537C05">
        <w:rPr>
          <w:rFonts w:ascii="Times New Roman" w:hAnsi="Times New Roman"/>
          <w:iCs/>
          <w:sz w:val="24"/>
          <w:szCs w:val="24"/>
        </w:rPr>
        <w:t xml:space="preserve"> – Brăila, Ialomița, Călărași,Giurgiu</w:t>
      </w:r>
    </w:p>
    <w:p w14:paraId="6E8B3ACF" w14:textId="77777777" w:rsidR="00D1051D" w:rsidRPr="00537C05" w:rsidRDefault="00D1051D" w:rsidP="00537C05">
      <w:p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7C05">
        <w:rPr>
          <w:rFonts w:ascii="Times New Roman" w:hAnsi="Times New Roman" w:cs="Times New Roman"/>
          <w:b/>
          <w:iCs/>
          <w:sz w:val="24"/>
          <w:szCs w:val="24"/>
        </w:rPr>
        <w:t>- Județe care au  toate unitatile de relief</w:t>
      </w:r>
      <w:r w:rsidRPr="00537C05">
        <w:rPr>
          <w:rFonts w:ascii="Times New Roman" w:hAnsi="Times New Roman" w:cs="Times New Roman"/>
          <w:iCs/>
          <w:sz w:val="24"/>
          <w:szCs w:val="24"/>
        </w:rPr>
        <w:t xml:space="preserve">: Prahova,  Buzău, Vâlcea, Dâmbovița, Argeș, Bihor. </w:t>
      </w:r>
    </w:p>
    <w:p w14:paraId="6E5BFA67" w14:textId="73D58A11" w:rsidR="00D1051D" w:rsidRPr="00537C05" w:rsidRDefault="00D1051D" w:rsidP="00537C05">
      <w:pPr>
        <w:pStyle w:val="Default"/>
        <w:spacing w:after="240" w:line="276" w:lineRule="auto"/>
        <w:jc w:val="both"/>
      </w:pPr>
      <w:r w:rsidRPr="00537C05">
        <w:rPr>
          <w:b/>
          <w:bCs/>
        </w:rPr>
        <w:t xml:space="preserve">4.  </w:t>
      </w:r>
      <w:r w:rsidRPr="00537C05">
        <w:rPr>
          <w:b/>
          <w:bCs/>
          <w:u w:val="single"/>
        </w:rPr>
        <w:t>după regiunile de dezvoltare</w:t>
      </w:r>
      <w:r w:rsidRPr="00537C05">
        <w:rPr>
          <w:b/>
          <w:bCs/>
        </w:rPr>
        <w:t xml:space="preserve">, </w:t>
      </w:r>
      <w:r w:rsidRPr="00537C05">
        <w:t xml:space="preserve">județele sunt grupate teritorial în 8 </w:t>
      </w:r>
      <w:r w:rsidR="00517EE8">
        <w:t xml:space="preserve">astfel de </w:t>
      </w:r>
      <w:r w:rsidRPr="00537C05">
        <w:t>regiuni:</w:t>
      </w:r>
    </w:p>
    <w:p w14:paraId="24AAC129" w14:textId="77777777" w:rsidR="00537C05" w:rsidRDefault="00537C05" w:rsidP="00537C05">
      <w:pPr>
        <w:pStyle w:val="Default"/>
        <w:numPr>
          <w:ilvl w:val="0"/>
          <w:numId w:val="3"/>
        </w:numPr>
        <w:spacing w:line="276" w:lineRule="auto"/>
        <w:jc w:val="both"/>
        <w:rPr>
          <w:b/>
          <w:bCs/>
          <w:i/>
          <w:iCs/>
        </w:rPr>
        <w:sectPr w:rsidR="00537C05" w:rsidSect="00537C05">
          <w:pgSz w:w="11906" w:h="16838" w:code="9"/>
          <w:pgMar w:top="851" w:right="851" w:bottom="851" w:left="1418" w:header="567" w:footer="567" w:gutter="0"/>
          <w:cols w:space="708"/>
          <w:docGrid w:linePitch="360"/>
        </w:sectPr>
      </w:pPr>
    </w:p>
    <w:p w14:paraId="59A22E23" w14:textId="3E6786CA" w:rsidR="00D1051D" w:rsidRPr="00537C05" w:rsidRDefault="00D1051D" w:rsidP="00537C05">
      <w:pPr>
        <w:pStyle w:val="Default"/>
        <w:numPr>
          <w:ilvl w:val="0"/>
          <w:numId w:val="3"/>
        </w:numPr>
        <w:spacing w:line="276" w:lineRule="auto"/>
        <w:jc w:val="both"/>
      </w:pPr>
      <w:bookmarkStart w:id="0" w:name="_Hlk35793576"/>
      <w:r w:rsidRPr="00537C05">
        <w:rPr>
          <w:b/>
          <w:bCs/>
          <w:i/>
          <w:iCs/>
        </w:rPr>
        <w:t>NORD-VEST</w:t>
      </w:r>
    </w:p>
    <w:p w14:paraId="3DD0E422" w14:textId="729993C5" w:rsidR="00D1051D" w:rsidRPr="00537C05" w:rsidRDefault="00D1051D" w:rsidP="00537C05">
      <w:pPr>
        <w:pStyle w:val="Default"/>
        <w:numPr>
          <w:ilvl w:val="0"/>
          <w:numId w:val="3"/>
        </w:numPr>
        <w:spacing w:line="276" w:lineRule="auto"/>
        <w:jc w:val="both"/>
      </w:pPr>
      <w:r w:rsidRPr="00537C05">
        <w:rPr>
          <w:b/>
          <w:bCs/>
          <w:i/>
          <w:iCs/>
        </w:rPr>
        <w:t>VEST</w:t>
      </w:r>
    </w:p>
    <w:p w14:paraId="11CCCA04" w14:textId="6A771E11" w:rsidR="00D1051D" w:rsidRPr="00537C05" w:rsidRDefault="00D1051D" w:rsidP="00537C05">
      <w:pPr>
        <w:pStyle w:val="Default"/>
        <w:numPr>
          <w:ilvl w:val="0"/>
          <w:numId w:val="3"/>
        </w:numPr>
        <w:spacing w:after="48" w:line="276" w:lineRule="auto"/>
        <w:jc w:val="both"/>
      </w:pPr>
      <w:r w:rsidRPr="00537C05">
        <w:rPr>
          <w:b/>
          <w:bCs/>
          <w:i/>
          <w:iCs/>
        </w:rPr>
        <w:t>SUD-VEST</w:t>
      </w:r>
    </w:p>
    <w:p w14:paraId="786EB0E0" w14:textId="76C9559A" w:rsidR="00D1051D" w:rsidRPr="00537C05" w:rsidRDefault="00D1051D" w:rsidP="00537C05">
      <w:pPr>
        <w:pStyle w:val="Default"/>
        <w:numPr>
          <w:ilvl w:val="0"/>
          <w:numId w:val="3"/>
        </w:numPr>
        <w:spacing w:after="48" w:line="276" w:lineRule="auto"/>
        <w:jc w:val="both"/>
      </w:pPr>
      <w:r w:rsidRPr="00537C05">
        <w:rPr>
          <w:b/>
          <w:bCs/>
          <w:i/>
          <w:iCs/>
        </w:rPr>
        <w:t>SUD</w:t>
      </w:r>
    </w:p>
    <w:p w14:paraId="49846EC5" w14:textId="24E5F693" w:rsidR="00D1051D" w:rsidRPr="00537C05" w:rsidRDefault="00D1051D" w:rsidP="00537C05">
      <w:pPr>
        <w:pStyle w:val="Default"/>
        <w:numPr>
          <w:ilvl w:val="0"/>
          <w:numId w:val="3"/>
        </w:numPr>
        <w:spacing w:after="48" w:line="276" w:lineRule="auto"/>
        <w:jc w:val="both"/>
      </w:pPr>
      <w:r w:rsidRPr="00537C05">
        <w:rPr>
          <w:b/>
          <w:bCs/>
          <w:i/>
          <w:iCs/>
        </w:rPr>
        <w:t>SUD-EST</w:t>
      </w:r>
    </w:p>
    <w:p w14:paraId="789A5CE5" w14:textId="2531222C" w:rsidR="00D1051D" w:rsidRPr="00537C05" w:rsidRDefault="00D1051D" w:rsidP="00537C05">
      <w:pPr>
        <w:pStyle w:val="Default"/>
        <w:numPr>
          <w:ilvl w:val="0"/>
          <w:numId w:val="3"/>
        </w:numPr>
        <w:spacing w:after="48" w:line="276" w:lineRule="auto"/>
        <w:jc w:val="both"/>
      </w:pPr>
      <w:r w:rsidRPr="00537C05">
        <w:rPr>
          <w:b/>
          <w:bCs/>
          <w:i/>
          <w:iCs/>
        </w:rPr>
        <w:t>NORD-ES</w:t>
      </w:r>
      <w:r w:rsidR="00537C05">
        <w:rPr>
          <w:b/>
          <w:bCs/>
          <w:i/>
          <w:iCs/>
        </w:rPr>
        <w:t>T</w:t>
      </w:r>
    </w:p>
    <w:p w14:paraId="54EABB85" w14:textId="68F8B15F" w:rsidR="00D1051D" w:rsidRPr="00537C05" w:rsidRDefault="00D1051D" w:rsidP="00537C05">
      <w:pPr>
        <w:pStyle w:val="Default"/>
        <w:numPr>
          <w:ilvl w:val="0"/>
          <w:numId w:val="3"/>
        </w:numPr>
        <w:spacing w:after="48" w:line="276" w:lineRule="auto"/>
        <w:jc w:val="both"/>
      </w:pPr>
      <w:r w:rsidRPr="00537C05">
        <w:rPr>
          <w:b/>
          <w:bCs/>
          <w:i/>
          <w:iCs/>
        </w:rPr>
        <w:t>CENTRU</w:t>
      </w:r>
      <w:r w:rsidRPr="00537C05">
        <w:rPr>
          <w:i/>
          <w:iCs/>
        </w:rPr>
        <w:t xml:space="preserve"> </w:t>
      </w:r>
    </w:p>
    <w:p w14:paraId="19B12B3C" w14:textId="4915F890" w:rsidR="00537C05" w:rsidRPr="00537C05" w:rsidRDefault="00D1051D" w:rsidP="00537C05">
      <w:pPr>
        <w:pStyle w:val="Default"/>
        <w:numPr>
          <w:ilvl w:val="0"/>
          <w:numId w:val="3"/>
        </w:numPr>
        <w:spacing w:line="276" w:lineRule="auto"/>
        <w:jc w:val="both"/>
        <w:sectPr w:rsidR="00537C05" w:rsidRPr="00537C05" w:rsidSect="00537C05">
          <w:type w:val="continuous"/>
          <w:pgSz w:w="11906" w:h="16838" w:code="9"/>
          <w:pgMar w:top="851" w:right="851" w:bottom="851" w:left="1418" w:header="567" w:footer="567" w:gutter="0"/>
          <w:cols w:num="2" w:space="708"/>
          <w:docGrid w:linePitch="360"/>
        </w:sectPr>
      </w:pPr>
      <w:r w:rsidRPr="00537C05">
        <w:rPr>
          <w:b/>
          <w:bCs/>
          <w:i/>
          <w:iCs/>
        </w:rPr>
        <w:t>BUCUREŞTI -ILFOV</w:t>
      </w:r>
    </w:p>
    <w:bookmarkEnd w:id="0"/>
    <w:p w14:paraId="7DCF20A7" w14:textId="45C10A33" w:rsidR="002D4F09" w:rsidRPr="00537C05" w:rsidRDefault="002D4F09" w:rsidP="00537C05">
      <w:pPr>
        <w:rPr>
          <w:rFonts w:ascii="Times New Roman" w:hAnsi="Times New Roman" w:cs="Times New Roman"/>
          <w:sz w:val="24"/>
          <w:szCs w:val="24"/>
        </w:rPr>
      </w:pPr>
    </w:p>
    <w:sectPr w:rsidR="002D4F09" w:rsidRPr="00537C05" w:rsidSect="00537C05">
      <w:type w:val="continuous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7"/>
      <w:numFmt w:val="bullet"/>
      <w:lvlText w:val="-"/>
      <w:lvlJc w:val="left"/>
      <w:pPr>
        <w:tabs>
          <w:tab w:val="num" w:pos="0"/>
        </w:tabs>
        <w:ind w:left="1365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25" w:hanging="360"/>
      </w:pPr>
      <w:rPr>
        <w:rFonts w:ascii="Wingdings" w:hAnsi="Wingdings"/>
      </w:rPr>
    </w:lvl>
  </w:abstractNum>
  <w:abstractNum w:abstractNumId="1" w15:restartNumberingAfterBreak="0">
    <w:nsid w:val="674509B0"/>
    <w:multiLevelType w:val="hybridMultilevel"/>
    <w:tmpl w:val="879E3E50"/>
    <w:lvl w:ilvl="0" w:tplc="FC3E8644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43E6F"/>
    <w:multiLevelType w:val="hybridMultilevel"/>
    <w:tmpl w:val="44BE787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D73"/>
    <w:rsid w:val="00242D73"/>
    <w:rsid w:val="002D4F09"/>
    <w:rsid w:val="00517EE8"/>
    <w:rsid w:val="00537C05"/>
    <w:rsid w:val="0079380A"/>
    <w:rsid w:val="00D1051D"/>
    <w:rsid w:val="00F4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FCBE1"/>
  <w15:chartTrackingRefBased/>
  <w15:docId w15:val="{85CE754F-A96D-4F71-AAB7-B84B5AB1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51D"/>
    <w:pPr>
      <w:suppressAutoHyphens/>
      <w:spacing w:after="0" w:line="276" w:lineRule="auto"/>
      <w:ind w:left="720"/>
      <w:contextualSpacing/>
    </w:pPr>
    <w:rPr>
      <w:rFonts w:ascii="Calibri" w:eastAsia="Calibri" w:hAnsi="Calibri" w:cs="Times New Roman"/>
      <w:kern w:val="1"/>
      <w:lang w:eastAsia="ar-SA"/>
    </w:rPr>
  </w:style>
  <w:style w:type="character" w:styleId="Hyperlink">
    <w:name w:val="Hyperlink"/>
    <w:uiPriority w:val="99"/>
    <w:unhideWhenUsed/>
    <w:rsid w:val="00D1051D"/>
    <w:rPr>
      <w:color w:val="0000FF"/>
      <w:u w:val="single"/>
    </w:rPr>
  </w:style>
  <w:style w:type="character" w:styleId="Strong">
    <w:name w:val="Strong"/>
    <w:uiPriority w:val="22"/>
    <w:qFormat/>
    <w:rsid w:val="00D1051D"/>
    <w:rPr>
      <w:b/>
      <w:bCs/>
    </w:rPr>
  </w:style>
  <w:style w:type="paragraph" w:customStyle="1" w:styleId="Default">
    <w:name w:val="Default"/>
    <w:rsid w:val="00D10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363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Johnnie</dc:creator>
  <cp:keywords/>
  <dc:description/>
  <cp:lastModifiedBy>Johnnie</cp:lastModifiedBy>
  <cp:revision>6</cp:revision>
  <dcterms:created xsi:type="dcterms:W3CDTF">2020-03-22T11:40:00Z</dcterms:created>
  <dcterms:modified xsi:type="dcterms:W3CDTF">2020-03-22T18:00:00Z</dcterms:modified>
</cp:coreProperties>
</file>